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811A3" w14:textId="658DCEAE" w:rsidR="00B123CF" w:rsidRDefault="00B123CF" w:rsidP="00B123CF">
      <w:pPr>
        <w:jc w:val="right"/>
      </w:pPr>
      <w:r>
        <w:t>п. 1.</w:t>
      </w:r>
      <w:r w:rsidR="000C6C71">
        <w:t>8</w:t>
      </w:r>
      <w:r>
        <w:t>. Указания Банка России от 02.11.2020 № 5609-У</w:t>
      </w:r>
    </w:p>
    <w:p w14:paraId="5A8CCBA2" w14:textId="1D8A5E9A" w:rsidR="002B397A" w:rsidRPr="002B397A" w:rsidRDefault="000C6C71" w:rsidP="002B397A">
      <w:pPr>
        <w:spacing w:after="0" w:line="240" w:lineRule="auto"/>
        <w:jc w:val="center"/>
        <w:rPr>
          <w:rFonts w:ascii="Calibri" w:eastAsia="Times New Roman" w:hAnsi="Calibri" w:cs="Calibri"/>
          <w:color w:val="000000"/>
          <w:sz w:val="28"/>
          <w:lang w:eastAsia="ru-RU"/>
        </w:rPr>
      </w:pPr>
      <w:r w:rsidRPr="000C6C71">
        <w:rPr>
          <w:rFonts w:ascii="Calibri" w:eastAsia="Times New Roman" w:hAnsi="Calibri" w:cs="Calibri"/>
          <w:color w:val="000000"/>
          <w:sz w:val="28"/>
          <w:lang w:eastAsia="ru-RU"/>
        </w:rPr>
        <w:t>Информация об агентах по выдаче, погашению и обмену инвестиционных паев (далее - агент):</w:t>
      </w:r>
    </w:p>
    <w:tbl>
      <w:tblPr>
        <w:tblStyle w:val="a3"/>
        <w:tblW w:w="9458" w:type="dxa"/>
        <w:tblLook w:val="04A0" w:firstRow="1" w:lastRow="0" w:firstColumn="1" w:lastColumn="0" w:noHBand="0" w:noVBand="1"/>
      </w:tblPr>
      <w:tblGrid>
        <w:gridCol w:w="636"/>
        <w:gridCol w:w="4712"/>
        <w:gridCol w:w="4110"/>
      </w:tblGrid>
      <w:tr w:rsidR="00B123CF" w:rsidRPr="002B397A" w14:paraId="53C56FBC" w14:textId="77777777" w:rsidTr="00D634CC">
        <w:tc>
          <w:tcPr>
            <w:tcW w:w="636" w:type="dxa"/>
            <w:vAlign w:val="center"/>
          </w:tcPr>
          <w:p w14:paraId="67DFD6F6" w14:textId="77777777" w:rsidR="00B123CF" w:rsidRPr="002B397A" w:rsidRDefault="00B123CF" w:rsidP="00D634CC">
            <w:pPr>
              <w:rPr>
                <w:sz w:val="28"/>
                <w:szCs w:val="28"/>
              </w:rPr>
            </w:pPr>
            <w:r w:rsidRPr="002B397A">
              <w:rPr>
                <w:b/>
                <w:bCs/>
                <w:sz w:val="28"/>
                <w:szCs w:val="28"/>
              </w:rPr>
              <w:t>№ </w:t>
            </w:r>
          </w:p>
        </w:tc>
        <w:tc>
          <w:tcPr>
            <w:tcW w:w="4712" w:type="dxa"/>
            <w:vAlign w:val="center"/>
          </w:tcPr>
          <w:p w14:paraId="11469282" w14:textId="77777777" w:rsidR="00B123CF" w:rsidRPr="002B397A" w:rsidRDefault="00B123CF" w:rsidP="00D634CC">
            <w:pPr>
              <w:rPr>
                <w:sz w:val="28"/>
                <w:szCs w:val="28"/>
              </w:rPr>
            </w:pPr>
            <w:r w:rsidRPr="002B397A">
              <w:rPr>
                <w:b/>
                <w:bCs/>
                <w:sz w:val="28"/>
                <w:szCs w:val="28"/>
              </w:rPr>
              <w:t>Наименование показателя</w:t>
            </w:r>
          </w:p>
        </w:tc>
        <w:tc>
          <w:tcPr>
            <w:tcW w:w="4110" w:type="dxa"/>
            <w:vAlign w:val="center"/>
          </w:tcPr>
          <w:p w14:paraId="5B6F315C" w14:textId="77777777" w:rsidR="00B123CF" w:rsidRPr="002B397A" w:rsidRDefault="00B123CF" w:rsidP="00D634CC">
            <w:pPr>
              <w:rPr>
                <w:sz w:val="28"/>
                <w:szCs w:val="28"/>
              </w:rPr>
            </w:pPr>
            <w:r w:rsidRPr="002B397A">
              <w:rPr>
                <w:b/>
                <w:bCs/>
                <w:sz w:val="28"/>
                <w:szCs w:val="28"/>
              </w:rPr>
              <w:t>Информация, подлежащая раскрытию</w:t>
            </w:r>
          </w:p>
        </w:tc>
      </w:tr>
      <w:tr w:rsidR="000C6C71" w:rsidRPr="002B397A" w14:paraId="382A06E4" w14:textId="77777777" w:rsidTr="00D634CC">
        <w:tc>
          <w:tcPr>
            <w:tcW w:w="636" w:type="dxa"/>
            <w:vAlign w:val="center"/>
          </w:tcPr>
          <w:p w14:paraId="585C6CEA" w14:textId="77777777" w:rsidR="000C6C71" w:rsidRPr="002B397A" w:rsidRDefault="000C6C71" w:rsidP="000C6C71">
            <w:pPr>
              <w:rPr>
                <w:sz w:val="28"/>
                <w:szCs w:val="28"/>
              </w:rPr>
            </w:pPr>
            <w:r w:rsidRPr="002B397A">
              <w:rPr>
                <w:sz w:val="28"/>
                <w:szCs w:val="28"/>
              </w:rPr>
              <w:t>1</w:t>
            </w:r>
          </w:p>
        </w:tc>
        <w:tc>
          <w:tcPr>
            <w:tcW w:w="4712" w:type="dxa"/>
          </w:tcPr>
          <w:p w14:paraId="6CCB433E" w14:textId="61EEEA1C" w:rsidR="000C6C71" w:rsidRPr="000C6C71" w:rsidRDefault="004A59BC" w:rsidP="000C6C71">
            <w:pPr>
              <w:rPr>
                <w:sz w:val="28"/>
                <w:szCs w:val="28"/>
              </w:rPr>
            </w:pPr>
            <w:r>
              <w:rPr>
                <w:rFonts w:ascii="Calibri" w:hAnsi="Calibri" w:cs="Calibri"/>
                <w:color w:val="000000"/>
                <w:sz w:val="28"/>
              </w:rPr>
              <w:t>Н</w:t>
            </w:r>
            <w:r w:rsidR="000C6C71" w:rsidRPr="000C6C71">
              <w:rPr>
                <w:rFonts w:ascii="Calibri" w:hAnsi="Calibri" w:cs="Calibri"/>
                <w:color w:val="000000"/>
                <w:sz w:val="28"/>
              </w:rPr>
              <w:t>аименование;</w:t>
            </w:r>
          </w:p>
        </w:tc>
        <w:tc>
          <w:tcPr>
            <w:tcW w:w="4110" w:type="dxa"/>
            <w:vAlign w:val="center"/>
          </w:tcPr>
          <w:p w14:paraId="4CDF937D" w14:textId="77777777" w:rsidR="000C6C71" w:rsidRPr="002B397A" w:rsidRDefault="000C6C71" w:rsidP="000C6C71">
            <w:pPr>
              <w:rPr>
                <w:sz w:val="28"/>
                <w:szCs w:val="28"/>
              </w:rPr>
            </w:pPr>
          </w:p>
        </w:tc>
      </w:tr>
      <w:tr w:rsidR="000C6C71" w:rsidRPr="002B397A" w14:paraId="34507559" w14:textId="77777777" w:rsidTr="00D634CC">
        <w:tc>
          <w:tcPr>
            <w:tcW w:w="636" w:type="dxa"/>
            <w:vAlign w:val="center"/>
          </w:tcPr>
          <w:p w14:paraId="3F57228F" w14:textId="77777777" w:rsidR="000C6C71" w:rsidRPr="002B397A" w:rsidRDefault="000C6C71" w:rsidP="000C6C71">
            <w:pPr>
              <w:rPr>
                <w:sz w:val="28"/>
                <w:szCs w:val="28"/>
              </w:rPr>
            </w:pPr>
            <w:r w:rsidRPr="002B397A">
              <w:rPr>
                <w:sz w:val="28"/>
                <w:szCs w:val="28"/>
              </w:rPr>
              <w:t>2</w:t>
            </w:r>
          </w:p>
        </w:tc>
        <w:tc>
          <w:tcPr>
            <w:tcW w:w="4712" w:type="dxa"/>
          </w:tcPr>
          <w:p w14:paraId="0CD5979A" w14:textId="2D10C3C9" w:rsidR="000C6C71" w:rsidRPr="000C6C71" w:rsidRDefault="004A59BC" w:rsidP="000C6C71">
            <w:pPr>
              <w:rPr>
                <w:sz w:val="28"/>
                <w:szCs w:val="28"/>
              </w:rPr>
            </w:pPr>
            <w:r>
              <w:rPr>
                <w:rFonts w:ascii="Calibri" w:hAnsi="Calibri" w:cs="Calibri"/>
                <w:color w:val="000000"/>
                <w:sz w:val="28"/>
              </w:rPr>
              <w:t>Н</w:t>
            </w:r>
            <w:r w:rsidR="000C6C71" w:rsidRPr="000C6C71">
              <w:rPr>
                <w:rFonts w:ascii="Calibri" w:hAnsi="Calibri" w:cs="Calibri"/>
                <w:color w:val="000000"/>
                <w:sz w:val="28"/>
              </w:rPr>
              <w:t>омер и дата выдачи лицензии специализированного депозитария, лицензии профессионального участника рынка ценных бумаг на осуществление брокерской деятельности, лицензии на осуществление деятельности по ведению реестра владельцев ценных бумаг, лицензии на осуществление банковских операций либо лицензии на осуществление страховой деятельности, дата внесения Банком России сведений в реестр операторов финансовых платформ;</w:t>
            </w:r>
          </w:p>
        </w:tc>
        <w:tc>
          <w:tcPr>
            <w:tcW w:w="4110" w:type="dxa"/>
            <w:vAlign w:val="center"/>
          </w:tcPr>
          <w:p w14:paraId="7925A5A4" w14:textId="77777777" w:rsidR="000C6C71" w:rsidRPr="002B397A" w:rsidRDefault="000C6C71" w:rsidP="000C6C71">
            <w:pPr>
              <w:rPr>
                <w:sz w:val="28"/>
                <w:szCs w:val="28"/>
              </w:rPr>
            </w:pPr>
          </w:p>
        </w:tc>
      </w:tr>
      <w:tr w:rsidR="000C6C71" w:rsidRPr="002B397A" w14:paraId="265C302C" w14:textId="77777777" w:rsidTr="00D634CC">
        <w:tc>
          <w:tcPr>
            <w:tcW w:w="636" w:type="dxa"/>
            <w:vAlign w:val="center"/>
          </w:tcPr>
          <w:p w14:paraId="0DB2990C" w14:textId="77777777" w:rsidR="000C6C71" w:rsidRPr="002B397A" w:rsidRDefault="000C6C71" w:rsidP="000C6C71">
            <w:pPr>
              <w:rPr>
                <w:sz w:val="28"/>
                <w:szCs w:val="28"/>
              </w:rPr>
            </w:pPr>
            <w:r w:rsidRPr="002B397A">
              <w:rPr>
                <w:sz w:val="28"/>
                <w:szCs w:val="28"/>
              </w:rPr>
              <w:t>3</w:t>
            </w:r>
          </w:p>
        </w:tc>
        <w:tc>
          <w:tcPr>
            <w:tcW w:w="4712" w:type="dxa"/>
          </w:tcPr>
          <w:p w14:paraId="17A6204D" w14:textId="50E9D686" w:rsidR="000C6C71" w:rsidRPr="000C6C71" w:rsidRDefault="004A59BC" w:rsidP="000C6C71">
            <w:pPr>
              <w:rPr>
                <w:sz w:val="28"/>
                <w:szCs w:val="28"/>
              </w:rPr>
            </w:pPr>
            <w:r>
              <w:rPr>
                <w:rFonts w:ascii="Calibri" w:hAnsi="Calibri" w:cs="Calibri"/>
                <w:color w:val="000000"/>
                <w:sz w:val="28"/>
              </w:rPr>
              <w:t>О</w:t>
            </w:r>
            <w:r w:rsidR="000C6C71" w:rsidRPr="000C6C71">
              <w:rPr>
                <w:rFonts w:ascii="Calibri" w:hAnsi="Calibri" w:cs="Calibri"/>
                <w:color w:val="000000"/>
                <w:sz w:val="28"/>
              </w:rPr>
              <w:t>сновной государственный регистрационный номер (ОГРН);</w:t>
            </w:r>
          </w:p>
        </w:tc>
        <w:tc>
          <w:tcPr>
            <w:tcW w:w="4110" w:type="dxa"/>
            <w:vAlign w:val="center"/>
          </w:tcPr>
          <w:p w14:paraId="5B31F3A0" w14:textId="77777777" w:rsidR="000C6C71" w:rsidRPr="002B397A" w:rsidRDefault="000C6C71" w:rsidP="000C6C71">
            <w:pPr>
              <w:rPr>
                <w:sz w:val="28"/>
                <w:szCs w:val="28"/>
              </w:rPr>
            </w:pPr>
          </w:p>
        </w:tc>
      </w:tr>
      <w:tr w:rsidR="000C6C71" w:rsidRPr="002B397A" w14:paraId="56D07B9C" w14:textId="77777777" w:rsidTr="00D634CC">
        <w:tc>
          <w:tcPr>
            <w:tcW w:w="636" w:type="dxa"/>
            <w:vAlign w:val="center"/>
          </w:tcPr>
          <w:p w14:paraId="3A935568" w14:textId="722B0841" w:rsidR="000C6C71" w:rsidRPr="002B397A" w:rsidRDefault="000C6C71" w:rsidP="000C6C71">
            <w:pPr>
              <w:rPr>
                <w:sz w:val="28"/>
                <w:szCs w:val="28"/>
              </w:rPr>
            </w:pPr>
            <w:r>
              <w:rPr>
                <w:sz w:val="28"/>
                <w:szCs w:val="28"/>
              </w:rPr>
              <w:t>4</w:t>
            </w:r>
          </w:p>
        </w:tc>
        <w:tc>
          <w:tcPr>
            <w:tcW w:w="4712" w:type="dxa"/>
          </w:tcPr>
          <w:p w14:paraId="41403E30" w14:textId="1323B821" w:rsidR="000C6C71" w:rsidRPr="000C6C71" w:rsidRDefault="004A59BC" w:rsidP="000C6C71">
            <w:pPr>
              <w:rPr>
                <w:rFonts w:ascii="Calibri" w:hAnsi="Calibri" w:cs="Calibri"/>
                <w:color w:val="000000"/>
                <w:sz w:val="28"/>
                <w:szCs w:val="28"/>
              </w:rPr>
            </w:pPr>
            <w:r>
              <w:rPr>
                <w:rFonts w:ascii="Calibri" w:hAnsi="Calibri" w:cs="Calibri"/>
                <w:color w:val="000000"/>
                <w:sz w:val="28"/>
              </w:rPr>
              <w:t>М</w:t>
            </w:r>
            <w:r w:rsidR="000C6C71" w:rsidRPr="000C6C71">
              <w:rPr>
                <w:rFonts w:ascii="Calibri" w:hAnsi="Calibri" w:cs="Calibri"/>
                <w:color w:val="000000"/>
                <w:sz w:val="28"/>
              </w:rPr>
              <w:t>есто нахождения (адрес);</w:t>
            </w:r>
          </w:p>
        </w:tc>
        <w:tc>
          <w:tcPr>
            <w:tcW w:w="4110" w:type="dxa"/>
            <w:vAlign w:val="center"/>
          </w:tcPr>
          <w:p w14:paraId="589E953F" w14:textId="77777777" w:rsidR="000C6C71" w:rsidRPr="002B397A" w:rsidRDefault="000C6C71" w:rsidP="000C6C71">
            <w:pPr>
              <w:rPr>
                <w:sz w:val="28"/>
                <w:szCs w:val="28"/>
              </w:rPr>
            </w:pPr>
          </w:p>
        </w:tc>
      </w:tr>
      <w:tr w:rsidR="000C6C71" w:rsidRPr="002B397A" w14:paraId="1D4671C7" w14:textId="77777777" w:rsidTr="00D634CC">
        <w:tc>
          <w:tcPr>
            <w:tcW w:w="636" w:type="dxa"/>
            <w:vAlign w:val="center"/>
          </w:tcPr>
          <w:p w14:paraId="1722F4D4" w14:textId="77E8982D" w:rsidR="000C6C71" w:rsidRPr="002B397A" w:rsidRDefault="000C6C71" w:rsidP="000C6C71">
            <w:pPr>
              <w:rPr>
                <w:sz w:val="28"/>
                <w:szCs w:val="28"/>
              </w:rPr>
            </w:pPr>
            <w:r>
              <w:rPr>
                <w:sz w:val="28"/>
                <w:szCs w:val="28"/>
              </w:rPr>
              <w:t>5</w:t>
            </w:r>
          </w:p>
        </w:tc>
        <w:tc>
          <w:tcPr>
            <w:tcW w:w="4712" w:type="dxa"/>
          </w:tcPr>
          <w:p w14:paraId="331724BC" w14:textId="3A233269" w:rsidR="000C6C71" w:rsidRPr="000C6C71" w:rsidRDefault="004A59BC" w:rsidP="000C6C71">
            <w:pPr>
              <w:rPr>
                <w:rFonts w:ascii="Calibri" w:hAnsi="Calibri" w:cs="Calibri"/>
                <w:color w:val="000000"/>
                <w:sz w:val="28"/>
                <w:szCs w:val="28"/>
              </w:rPr>
            </w:pPr>
            <w:r>
              <w:rPr>
                <w:rFonts w:ascii="Calibri" w:hAnsi="Calibri" w:cs="Calibri"/>
                <w:color w:val="000000"/>
                <w:sz w:val="28"/>
              </w:rPr>
              <w:t>Д</w:t>
            </w:r>
            <w:r w:rsidR="000C6C71" w:rsidRPr="000C6C71">
              <w:rPr>
                <w:rFonts w:ascii="Calibri" w:hAnsi="Calibri" w:cs="Calibri"/>
                <w:color w:val="000000"/>
                <w:sz w:val="28"/>
              </w:rPr>
              <w:t>ата включения сведений об агенте в реестр паевых инвестиционных фондов;</w:t>
            </w:r>
          </w:p>
        </w:tc>
        <w:tc>
          <w:tcPr>
            <w:tcW w:w="4110" w:type="dxa"/>
            <w:vAlign w:val="center"/>
          </w:tcPr>
          <w:p w14:paraId="19E91139" w14:textId="77777777" w:rsidR="000C6C71" w:rsidRPr="002B397A" w:rsidRDefault="000C6C71" w:rsidP="000C6C71">
            <w:pPr>
              <w:rPr>
                <w:sz w:val="28"/>
                <w:szCs w:val="28"/>
              </w:rPr>
            </w:pPr>
          </w:p>
        </w:tc>
      </w:tr>
      <w:tr w:rsidR="000C6C71" w:rsidRPr="002B397A" w14:paraId="089BC18B" w14:textId="77777777" w:rsidTr="00D634CC">
        <w:tc>
          <w:tcPr>
            <w:tcW w:w="636" w:type="dxa"/>
            <w:vAlign w:val="center"/>
          </w:tcPr>
          <w:p w14:paraId="3287B05E" w14:textId="3122EC36" w:rsidR="000C6C71" w:rsidRPr="002B397A" w:rsidRDefault="000C6C71" w:rsidP="000C6C71">
            <w:pPr>
              <w:rPr>
                <w:sz w:val="28"/>
                <w:szCs w:val="28"/>
              </w:rPr>
            </w:pPr>
            <w:r>
              <w:rPr>
                <w:sz w:val="28"/>
                <w:szCs w:val="28"/>
              </w:rPr>
              <w:t>6</w:t>
            </w:r>
          </w:p>
        </w:tc>
        <w:tc>
          <w:tcPr>
            <w:tcW w:w="4712" w:type="dxa"/>
          </w:tcPr>
          <w:p w14:paraId="1A85CE28" w14:textId="04C81139" w:rsidR="000C6C71" w:rsidRPr="000C6C71" w:rsidRDefault="004A59BC" w:rsidP="000C6C71">
            <w:pPr>
              <w:rPr>
                <w:rFonts w:ascii="Calibri" w:hAnsi="Calibri" w:cs="Calibri"/>
                <w:color w:val="000000"/>
                <w:sz w:val="28"/>
                <w:szCs w:val="28"/>
              </w:rPr>
            </w:pPr>
            <w:r>
              <w:rPr>
                <w:rFonts w:ascii="Calibri" w:hAnsi="Calibri" w:cs="Calibri"/>
                <w:color w:val="000000"/>
                <w:sz w:val="28"/>
              </w:rPr>
              <w:t>С</w:t>
            </w:r>
            <w:r w:rsidR="000C6C71" w:rsidRPr="000C6C71">
              <w:rPr>
                <w:rFonts w:ascii="Calibri" w:hAnsi="Calibri" w:cs="Calibri"/>
                <w:color w:val="000000"/>
                <w:sz w:val="28"/>
              </w:rPr>
              <w:t>ведения о месте приема агентом заявок на приобретение, погашение и обмен инвестиционных паев с указанием адреса агента и (или) официального сайта агента в сети "Интернет" и (или) мобильного приложения агента в качестве места приема агентом заявок, номера телефона и времени приема заявок;</w:t>
            </w:r>
          </w:p>
        </w:tc>
        <w:tc>
          <w:tcPr>
            <w:tcW w:w="4110" w:type="dxa"/>
            <w:vAlign w:val="center"/>
          </w:tcPr>
          <w:p w14:paraId="1A429D5D" w14:textId="77777777" w:rsidR="000C6C71" w:rsidRPr="002B397A" w:rsidRDefault="000C6C71" w:rsidP="000C6C71">
            <w:pPr>
              <w:rPr>
                <w:sz w:val="28"/>
                <w:szCs w:val="28"/>
              </w:rPr>
            </w:pPr>
          </w:p>
        </w:tc>
      </w:tr>
      <w:tr w:rsidR="000C6C71" w:rsidRPr="002B397A" w14:paraId="4D4C1B02" w14:textId="77777777" w:rsidTr="00D634CC">
        <w:tc>
          <w:tcPr>
            <w:tcW w:w="636" w:type="dxa"/>
            <w:vAlign w:val="center"/>
          </w:tcPr>
          <w:p w14:paraId="3970ACF1" w14:textId="23CCA2D2" w:rsidR="000C6C71" w:rsidRPr="002B397A" w:rsidRDefault="000C6C71" w:rsidP="000C6C71">
            <w:pPr>
              <w:rPr>
                <w:sz w:val="28"/>
                <w:szCs w:val="28"/>
              </w:rPr>
            </w:pPr>
            <w:r>
              <w:rPr>
                <w:sz w:val="28"/>
                <w:szCs w:val="28"/>
              </w:rPr>
              <w:t>7</w:t>
            </w:r>
          </w:p>
        </w:tc>
        <w:tc>
          <w:tcPr>
            <w:tcW w:w="4712" w:type="dxa"/>
          </w:tcPr>
          <w:p w14:paraId="32A76800" w14:textId="1227C3AD" w:rsidR="000C6C71" w:rsidRPr="000C6C71" w:rsidRDefault="004A59BC" w:rsidP="000C6C71">
            <w:pPr>
              <w:rPr>
                <w:rFonts w:ascii="Calibri" w:hAnsi="Calibri" w:cs="Calibri"/>
                <w:color w:val="000000"/>
                <w:sz w:val="28"/>
                <w:szCs w:val="28"/>
              </w:rPr>
            </w:pPr>
            <w:r>
              <w:rPr>
                <w:rFonts w:ascii="Calibri" w:hAnsi="Calibri" w:cs="Calibri"/>
                <w:color w:val="000000"/>
                <w:sz w:val="28"/>
              </w:rPr>
              <w:t>П</w:t>
            </w:r>
            <w:r w:rsidR="000C6C71" w:rsidRPr="000C6C71">
              <w:rPr>
                <w:rFonts w:ascii="Calibri" w:hAnsi="Calibri" w:cs="Calibri"/>
                <w:color w:val="000000"/>
                <w:sz w:val="28"/>
              </w:rPr>
              <w:t>орядок и иные условия приема агентом заявок на приобретение, погашение и обмен инвестиционных паев, указанные в правилах доверительного управления паевым инвестиционным фондом</w:t>
            </w:r>
          </w:p>
        </w:tc>
        <w:tc>
          <w:tcPr>
            <w:tcW w:w="4110" w:type="dxa"/>
            <w:vAlign w:val="center"/>
          </w:tcPr>
          <w:p w14:paraId="5B4DA8A8" w14:textId="77777777" w:rsidR="000C6C71" w:rsidRPr="002B397A" w:rsidRDefault="000C6C71" w:rsidP="000C6C71">
            <w:pPr>
              <w:rPr>
                <w:sz w:val="28"/>
                <w:szCs w:val="28"/>
              </w:rPr>
            </w:pPr>
          </w:p>
        </w:tc>
      </w:tr>
    </w:tbl>
    <w:p w14:paraId="7E03C135" w14:textId="77777777" w:rsidR="00203627" w:rsidRDefault="00847CF3" w:rsidP="004A59BC">
      <w:bookmarkStart w:id="0" w:name="_GoBack"/>
      <w:bookmarkEnd w:id="0"/>
    </w:p>
    <w:sectPr w:rsidR="002036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208"/>
    <w:rsid w:val="000C6C71"/>
    <w:rsid w:val="00174208"/>
    <w:rsid w:val="002B397A"/>
    <w:rsid w:val="004359D5"/>
    <w:rsid w:val="004A59BC"/>
    <w:rsid w:val="00847CF3"/>
    <w:rsid w:val="00864D14"/>
    <w:rsid w:val="00B123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AB9B4"/>
  <w15:chartTrackingRefBased/>
  <w15:docId w15:val="{AB5E62CF-696D-4E04-842D-8053476D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3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2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933357">
      <w:bodyDiv w:val="1"/>
      <w:marLeft w:val="0"/>
      <w:marRight w:val="0"/>
      <w:marTop w:val="0"/>
      <w:marBottom w:val="0"/>
      <w:divBdr>
        <w:top w:val="none" w:sz="0" w:space="0" w:color="auto"/>
        <w:left w:val="none" w:sz="0" w:space="0" w:color="auto"/>
        <w:bottom w:val="none" w:sz="0" w:space="0" w:color="auto"/>
        <w:right w:val="none" w:sz="0" w:space="0" w:color="auto"/>
      </w:divBdr>
    </w:div>
    <w:div w:id="1049300898">
      <w:bodyDiv w:val="1"/>
      <w:marLeft w:val="0"/>
      <w:marRight w:val="0"/>
      <w:marTop w:val="0"/>
      <w:marBottom w:val="0"/>
      <w:divBdr>
        <w:top w:val="none" w:sz="0" w:space="0" w:color="auto"/>
        <w:left w:val="none" w:sz="0" w:space="0" w:color="auto"/>
        <w:bottom w:val="none" w:sz="0" w:space="0" w:color="auto"/>
        <w:right w:val="none" w:sz="0" w:space="0" w:color="auto"/>
      </w:divBdr>
    </w:div>
    <w:div w:id="164384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192</Words>
  <Characters>1097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MOEX</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Ковзель Кристина Андреевна</dc:creator>
  <cp:keywords/>
  <dc:description/>
  <cp:lastModifiedBy>Ковзель Кристина Андреевна</cp:lastModifiedBy>
  <cp:revision>3</cp:revision>
  <dcterms:created xsi:type="dcterms:W3CDTF">2025-08-05T10:15:00Z</dcterms:created>
  <dcterms:modified xsi:type="dcterms:W3CDTF">2025-11-13T12:00:00Z</dcterms:modified>
</cp:coreProperties>
</file>